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5"/>
        <w:pBdr/>
        <w:spacing/>
        <w:ind/>
        <w:jc w:val="both"/>
        <w:outlineLvl w:val="0"/>
        <w:rPr/>
      </w:pPr>
      <w:r>
        <w:rPr>
          <w:sz w:val="24"/>
        </w:rPr>
      </w:r>
      <w:r/>
    </w:p>
    <w:p>
      <w:pPr>
        <w:pStyle w:val="877"/>
        <w:pBdr/>
        <w:spacing/>
        <w:ind/>
        <w:jc w:val="center"/>
        <w:outlineLvl w:val="0"/>
        <w:rPr/>
      </w:pPr>
      <w:r>
        <w:rPr>
          <w:sz w:val="24"/>
        </w:rPr>
        <w:t xml:space="preserve">КАБИНЕТ МИНИСТРОВ РЕСПУБЛИКИ ТАТАРСТАН</w:t>
      </w:r>
      <w:r/>
    </w:p>
    <w:p>
      <w:pPr>
        <w:pStyle w:val="877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877"/>
        <w:pBdr/>
        <w:spacing/>
        <w:ind/>
        <w:jc w:val="center"/>
        <w:rPr/>
      </w:pPr>
      <w:r>
        <w:rPr>
          <w:sz w:val="24"/>
        </w:rPr>
        <w:t xml:space="preserve">ПОСТАНОВЛЕНИЕ</w:t>
      </w:r>
      <w:r/>
    </w:p>
    <w:p>
      <w:pPr>
        <w:pStyle w:val="877"/>
        <w:pBdr/>
        <w:spacing/>
        <w:ind/>
        <w:jc w:val="center"/>
        <w:rPr/>
      </w:pPr>
      <w:r>
        <w:rPr>
          <w:sz w:val="24"/>
        </w:rPr>
        <w:t xml:space="preserve">от 3 декабря 2011 г. N 989</w:t>
      </w:r>
      <w:r/>
    </w:p>
    <w:p>
      <w:pPr>
        <w:pStyle w:val="877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877"/>
        <w:pBdr/>
        <w:spacing/>
        <w:ind/>
        <w:jc w:val="center"/>
        <w:rPr/>
      </w:pPr>
      <w:r>
        <w:rPr>
          <w:sz w:val="24"/>
        </w:rPr>
        <w:t xml:space="preserve">О ГОСУДАРСТВЕННОМ БЮДЖЕТНОМ УЧРЕЖДЕНИИ "ЦЕНТР ЭКОНОМИЧЕСКИХ</w:t>
      </w:r>
      <w:r/>
    </w:p>
    <w:p>
      <w:pPr>
        <w:pStyle w:val="877"/>
        <w:pBdr/>
        <w:spacing/>
        <w:ind/>
        <w:jc w:val="center"/>
        <w:rPr/>
      </w:pPr>
      <w:r>
        <w:rPr>
          <w:sz w:val="24"/>
        </w:rPr>
        <w:t xml:space="preserve">И СОЦИАЛЬНЫХ ИССЛЕДОВАНИЙ РЕСПУБЛИКИ ТАТАРСТАН</w:t>
      </w:r>
      <w:r/>
    </w:p>
    <w:p>
      <w:pPr>
        <w:pStyle w:val="877"/>
        <w:pBdr/>
        <w:spacing/>
        <w:ind/>
        <w:jc w:val="center"/>
        <w:rPr/>
      </w:pPr>
      <w:r>
        <w:rPr>
          <w:sz w:val="24"/>
        </w:rPr>
        <w:t xml:space="preserve">ПРИ КАБИНЕТЕ МИНИСТРОВ РЕСПУБЛИКИ ТАТАРСТАН"</w:t>
      </w:r>
      <w:r/>
    </w:p>
    <w:p>
      <w:pPr>
        <w:pBdr/>
        <w:spacing w:after="1"/>
        <w:ind/>
        <w:rPr/>
      </w:pPr>
      <w:r/>
      <w:r/>
    </w:p>
    <w:tbl>
      <w:tblPr>
        <w:tblInd w:w="0" w:type="dxa"/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</w:tcPr>
          <w:p>
            <w:pPr>
              <w:pStyle w:val="875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75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(в ред. Постановлений КМ РТ от 31.08.2012 </w:t>
            </w:r>
            <w:hyperlink r:id="rId12" w:tooltip="Постановление КМ РТ от 31.08.2012 N 747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      <w:r>
                <w:rPr>
                  <w:color w:val="0000ff"/>
                  <w:sz w:val="24"/>
                </w:rPr>
                <w:t xml:space="preserve">N 747</w:t>
              </w:r>
            </w:hyperlink>
            <w:r>
              <w:rPr>
                <w:color w:val="392c69"/>
                <w:sz w:val="24"/>
              </w:rPr>
              <w:t xml:space="preserve">, от 16.12.2019 </w:t>
            </w:r>
            <w:hyperlink r:id="rId13" w:tooltip="Постановление КМ РТ от 16.12.2019 N 1155 &quot;О внесении изменения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      <w:r>
                <w:rPr>
                  <w:color w:val="0000ff"/>
                  <w:sz w:val="24"/>
                </w:rPr>
                <w:t xml:space="preserve">N 1155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75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08.12.2023 </w:t>
            </w:r>
            <w:hyperlink r:id="rId14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      <w:r>
                <w:rPr>
                  <w:color w:val="0000ff"/>
                  <w:sz w:val="24"/>
                </w:rPr>
                <w:t xml:space="preserve">N 1573</w:t>
              </w:r>
            </w:hyperlink>
            <w:r>
              <w:rPr>
                <w:color w:val="392c69"/>
                <w:sz w:val="24"/>
              </w:rPr>
              <w:t xml:space="preserve">, от 07.04.2026 </w:t>
            </w:r>
            <w:hyperlink r:id="rId15" w:tooltip="Постановление КМ РТ от 07.04.2026 N 366 &quot;О внесении изменения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      <w:r>
                <w:rPr>
                  <w:color w:val="0000ff"/>
                  <w:sz w:val="24"/>
                </w:rPr>
                <w:t xml:space="preserve">N 366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 w:firstLine="540"/>
        <w:jc w:val="both"/>
        <w:rPr/>
      </w:pPr>
      <w:r>
        <w:rPr>
          <w:sz w:val="24"/>
        </w:rPr>
        <w:t xml:space="preserve">В соответствии с </w:t>
      </w:r>
      <w:hyperlink r:id="rId16" w:tooltip="Постановление КМ РТ от 18.10.2010 N 820 &quot;О мерах по реализации в Республике Татарстан Федерального закона от 08.05.2010 N 83-ФЗ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в части установления порядка создания, реорганизации, изменения типа и ликвидации государственных учреждений Республики Татарстан, а также регламентации функций и полномочий учредителя и собственника имущества госуд ------------ Недействующая редакция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Кабинета Министров Республики Татарстан от 18.10.2010 N 820 "О мерах по реализации в Республике Татарстан Федерального за</w:t>
      </w:r>
      <w:r>
        <w:rPr>
          <w:sz w:val="24"/>
        </w:rPr>
        <w:t xml:space="preserve">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в части установления порядка создания, реорганизации, и</w:t>
      </w:r>
      <w:r>
        <w:rPr>
          <w:sz w:val="24"/>
        </w:rPr>
        <w:t xml:space="preserve">зменения типа и ликвидации государственных учреждений Республики Татарстан, а также регламентации функций и полномочий учредителя и собственника имущества государственных учреждений Республики Татарстан" Кабинет Министров Республики Татарстан постановляет: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 w:firstLine="540"/>
        <w:jc w:val="both"/>
        <w:rPr/>
      </w:pPr>
      <w:r>
        <w:rPr>
          <w:sz w:val="24"/>
        </w:rPr>
        <w:t xml:space="preserve">1. Утвердить прилагаемый </w:t>
      </w:r>
      <w:hyperlink w:tooltip="УСТАВ" w:anchor="P37" w:history="1">
        <w:r>
          <w:rPr>
            <w:color w:val="0000ff"/>
            <w:sz w:val="24"/>
          </w:rPr>
          <w:t xml:space="preserve">Устав</w:t>
        </w:r>
      </w:hyperlink>
      <w:r>
        <w:rPr>
          <w:sz w:val="24"/>
        </w:rPr>
        <w:t xml:space="preserve"> государственного бюджетного учреждения "Центр экономических и социальных исследований Республики Татарстан при Кабинете Министров Республики Татарстан".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 Установить, что финансовое обеспечение выполнения государственным бюджетным учреждением "Центр экономических и социальных исследований Республики Татарстан при Кабинете Министров Республ</w:t>
      </w:r>
      <w:r>
        <w:rPr>
          <w:sz w:val="24"/>
        </w:rPr>
        <w:t xml:space="preserve">ики Татарстан" государственного задания на оказание государственных услуг (выполнение работ) осуществляется в форме субсидий в пределах бюджетных ассигнований, предусмотренных Аппарату Кабинета Министров Республики Татарстан в бюджете Республики Татарстан.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3. Министерству земельных и имущественных отношений Республики Татарстан в установленном порядке закрепить имущество, необх</w:t>
      </w:r>
      <w:r>
        <w:rPr>
          <w:sz w:val="24"/>
        </w:rPr>
        <w:t xml:space="preserve">одимое для обеспечения уставной деятельности государственного бюджетного учреждения "Центр экономических и социальных исследований Республики Татарстан при Кабинете Министров Республики Татарстан", на праве оперативного управления за указанным учреждением.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4. Признать утратившими силу:</w:t>
      </w:r>
      <w:r/>
    </w:p>
    <w:p>
      <w:pPr>
        <w:pStyle w:val="875"/>
        <w:pBdr/>
        <w:spacing w:before="240"/>
        <w:ind w:firstLine="540"/>
        <w:jc w:val="both"/>
        <w:rPr/>
      </w:pPr>
      <w:r/>
      <w:hyperlink r:id="rId17" w:tooltip="Постановление КМ РТ от 16.10.1997 N 783 (ред. от 08.05.2008) &quot;О Центре экономических и социальных исследований Республики Татарстан при Кабинете Министров Республики Татарстан&quot; ------------ Недействующая редакция {КонсультантПлюс}" w:history="1">
        <w:r>
          <w:rPr>
            <w:color w:val="0000ff"/>
            <w:sz w:val="24"/>
          </w:rPr>
          <w:t xml:space="preserve">пункт 2</w:t>
        </w:r>
      </w:hyperlink>
      <w:r>
        <w:rPr>
          <w:sz w:val="24"/>
        </w:rPr>
        <w:t xml:space="preserve"> Постановления Кабинета Министров Республики Татарстан от 16.10.1997 N 783 "О Центре экономических и социальных исследований Республики Татарстан при Кабинете Министров Республики Татарстан";</w:t>
      </w:r>
      <w:r/>
    </w:p>
    <w:p>
      <w:pPr>
        <w:pStyle w:val="875"/>
        <w:pBdr/>
        <w:spacing w:before="240"/>
        <w:ind w:firstLine="540"/>
        <w:jc w:val="both"/>
        <w:rPr/>
      </w:pPr>
      <w:r/>
      <w:hyperlink r:id="rId18" w:tooltip="Постановление КМ РТ от 12.04.2006 N 168 &quot;О внесении изменений в Положение о Центре экономических и социальных исследований Республики Татарстан при Кабинете Министров Республики Татарстан, утвержденное Постановлением Кабинета Министров Республики Татарстан от 16.10.1997 N 783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Кабинета Министров Республики Татарстан от</w:t>
      </w:r>
      <w:r>
        <w:rPr>
          <w:sz w:val="24"/>
        </w:rPr>
        <w:t xml:space="preserve"> 12.04.2006 N 168 "О внесении изменений в Положение о Центре экономических и социальных исследований Республики Татарстан при Кабинете Министров Республики Татарстан, утвержденное Постановлением Кабинета Министров Республики Татарстан от 16.10.1997 N 783";</w:t>
      </w:r>
      <w:r/>
    </w:p>
    <w:p>
      <w:pPr>
        <w:pStyle w:val="875"/>
        <w:pBdr/>
        <w:spacing w:before="240"/>
        <w:ind w:firstLine="540"/>
        <w:jc w:val="both"/>
        <w:rPr/>
      </w:pPr>
      <w:r/>
      <w:hyperlink r:id="rId19" w:tooltip="Постановление КМ РТ от 20.04.2007 N 136 (ред. от 31.03.2010) &quot;О внесении изменений в отдельные постановления Кабинета Министров Республики Татарстан&quot; ------------ Утратил силу или отменен {КонсультантПлюс}" w:history="1">
        <w:r>
          <w:rPr>
            <w:color w:val="0000ff"/>
            <w:sz w:val="24"/>
          </w:rPr>
          <w:t xml:space="preserve">пункт 1</w:t>
        </w:r>
      </w:hyperlink>
      <w:r>
        <w:rPr>
          <w:sz w:val="24"/>
        </w:rPr>
        <w:t xml:space="preserve"> Постановления Кабинета Министров Республики Татарстан от 20.04.2007 N 136 "О внесении изменений в отдельные постановления Кабинета Министров Республики Татарстан".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/>
        <w:jc w:val="right"/>
        <w:rPr/>
      </w:pPr>
      <w:r>
        <w:rPr>
          <w:sz w:val="24"/>
        </w:rPr>
        <w:t xml:space="preserve">Премьер-министр</w:t>
      </w:r>
      <w:r/>
    </w:p>
    <w:p>
      <w:pPr>
        <w:pStyle w:val="875"/>
        <w:pBdr/>
        <w:spacing/>
        <w:ind/>
        <w:jc w:val="right"/>
        <w:rPr/>
      </w:pPr>
      <w:r>
        <w:rPr>
          <w:sz w:val="24"/>
        </w:rPr>
        <w:t xml:space="preserve">Республики Татарстан</w:t>
      </w:r>
      <w:r/>
    </w:p>
    <w:p>
      <w:pPr>
        <w:pStyle w:val="875"/>
        <w:pBdr/>
        <w:spacing/>
        <w:ind/>
        <w:jc w:val="right"/>
        <w:rPr/>
      </w:pPr>
      <w:r>
        <w:rPr>
          <w:sz w:val="24"/>
        </w:rPr>
        <w:t xml:space="preserve">И.Ш.ХАЛИКОВ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/>
        <w:jc w:val="right"/>
        <w:outlineLvl w:val="0"/>
        <w:rPr/>
      </w:pPr>
      <w:r>
        <w:rPr>
          <w:sz w:val="24"/>
        </w:rPr>
        <w:t xml:space="preserve">Утвержден</w:t>
      </w:r>
      <w:r/>
    </w:p>
    <w:p>
      <w:pPr>
        <w:pStyle w:val="875"/>
        <w:pBdr/>
        <w:spacing/>
        <w:ind/>
        <w:jc w:val="right"/>
        <w:rPr/>
      </w:pPr>
      <w:r>
        <w:rPr>
          <w:sz w:val="24"/>
        </w:rPr>
        <w:t xml:space="preserve">Постановлением</w:t>
      </w:r>
      <w:r/>
    </w:p>
    <w:p>
      <w:pPr>
        <w:pStyle w:val="875"/>
        <w:pBdr/>
        <w:spacing/>
        <w:ind/>
        <w:jc w:val="right"/>
        <w:rPr/>
      </w:pPr>
      <w:r>
        <w:rPr>
          <w:sz w:val="24"/>
        </w:rPr>
        <w:t xml:space="preserve">Кабинета Министров</w:t>
      </w:r>
      <w:r/>
    </w:p>
    <w:p>
      <w:pPr>
        <w:pStyle w:val="875"/>
        <w:pBdr/>
        <w:spacing/>
        <w:ind/>
        <w:jc w:val="right"/>
        <w:rPr/>
      </w:pPr>
      <w:r>
        <w:rPr>
          <w:sz w:val="24"/>
        </w:rPr>
        <w:t xml:space="preserve">Республики Татарстан</w:t>
      </w:r>
      <w:r/>
    </w:p>
    <w:p>
      <w:pPr>
        <w:pStyle w:val="875"/>
        <w:pBdr/>
        <w:spacing/>
        <w:ind/>
        <w:jc w:val="right"/>
        <w:rPr/>
      </w:pPr>
      <w:r>
        <w:rPr>
          <w:sz w:val="24"/>
        </w:rPr>
        <w:t xml:space="preserve">от 3 декабря 2011 г. N 989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7"/>
        <w:pBdr/>
        <w:spacing/>
        <w:ind/>
        <w:jc w:val="center"/>
        <w:rPr/>
      </w:pPr>
      <w:r/>
      <w:bookmarkStart w:id="37" w:name="P37"/>
      <w:r/>
      <w:bookmarkEnd w:id="37"/>
      <w:r>
        <w:rPr>
          <w:sz w:val="24"/>
        </w:rPr>
        <w:t xml:space="preserve">УСТАВ</w:t>
      </w:r>
      <w:r/>
    </w:p>
    <w:p>
      <w:pPr>
        <w:pStyle w:val="877"/>
        <w:pBdr/>
        <w:spacing/>
        <w:ind/>
        <w:jc w:val="center"/>
        <w:rPr/>
      </w:pPr>
      <w:r>
        <w:rPr>
          <w:sz w:val="24"/>
        </w:rPr>
        <w:t xml:space="preserve">ГОСУДАРСТВЕННОГО БЮДЖЕТНОГО УЧРЕЖДЕНИЯ "ЦЕНТР ЭКОНОМИЧЕСКИХ</w:t>
      </w:r>
      <w:r/>
    </w:p>
    <w:p>
      <w:pPr>
        <w:pStyle w:val="877"/>
        <w:pBdr/>
        <w:spacing/>
        <w:ind/>
        <w:jc w:val="center"/>
        <w:rPr/>
      </w:pPr>
      <w:r>
        <w:rPr>
          <w:sz w:val="24"/>
        </w:rPr>
        <w:t xml:space="preserve">И СОЦИАЛЬНЫХ ИССЛЕДОВАНИЙ РЕСПУБЛИКИ ТАТАРСТАН</w:t>
      </w:r>
      <w:r/>
    </w:p>
    <w:p>
      <w:pPr>
        <w:pStyle w:val="877"/>
        <w:pBdr/>
        <w:spacing/>
        <w:ind/>
        <w:jc w:val="center"/>
        <w:rPr/>
      </w:pPr>
      <w:r>
        <w:rPr>
          <w:sz w:val="24"/>
        </w:rPr>
        <w:t xml:space="preserve">ПРИ КАБИНЕТЕ МИНИСТРОВ РЕСПУБЛИКИ ТАТАРСТАН"</w:t>
      </w:r>
      <w:r/>
    </w:p>
    <w:p>
      <w:pPr>
        <w:pBdr/>
        <w:spacing w:after="1"/>
        <w:ind/>
        <w:rPr/>
      </w:pPr>
      <w:r/>
      <w:r/>
    </w:p>
    <w:tbl>
      <w:tblPr>
        <w:tblInd w:w="0" w:type="dxa"/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</w:tcPr>
          <w:p>
            <w:pPr>
              <w:pStyle w:val="875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75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(в ред. Постановлений КМ РТ от 16.12.2019 </w:t>
            </w:r>
            <w:hyperlink r:id="rId20" w:tooltip="Постановление КМ РТ от 16.12.2019 N 1155 &quot;О внесении изменения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      <w:r>
                <w:rPr>
                  <w:color w:val="0000ff"/>
                  <w:sz w:val="24"/>
                </w:rPr>
                <w:t xml:space="preserve">N 1155</w:t>
              </w:r>
            </w:hyperlink>
            <w:r>
              <w:rPr>
                <w:color w:val="392c69"/>
                <w:sz w:val="24"/>
              </w:rPr>
              <w:t xml:space="preserve">, от 08.12.2023 </w:t>
            </w:r>
            <w:hyperlink r:id="rId21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      <w:r>
                <w:rPr>
                  <w:color w:val="0000ff"/>
                  <w:sz w:val="24"/>
                </w:rPr>
                <w:t xml:space="preserve">N 1573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75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07.04.2026 </w:t>
            </w:r>
            <w:hyperlink r:id="rId22" w:tooltip="Постановление КМ РТ от 07.04.2026 N 366 &quot;О внесении изменения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      <w:r>
                <w:rPr>
                  <w:color w:val="0000ff"/>
                  <w:sz w:val="24"/>
                </w:rPr>
                <w:t xml:space="preserve">N 366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7"/>
        <w:pBdr/>
        <w:spacing/>
        <w:ind/>
        <w:jc w:val="center"/>
        <w:outlineLvl w:val="1"/>
        <w:rPr/>
      </w:pPr>
      <w:r>
        <w:rPr>
          <w:sz w:val="24"/>
        </w:rPr>
        <w:t xml:space="preserve">1. Общие положения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 w:firstLine="540"/>
        <w:jc w:val="both"/>
        <w:rPr/>
      </w:pPr>
      <w:r>
        <w:rPr>
          <w:sz w:val="24"/>
        </w:rPr>
        <w:t xml:space="preserve">1.1. Государственное бюджетное учреждение "Центр экономических и социальных исследований Республики Татарстан при Кабинете Министров Республики Татарстан" (далее - Учреждение) является некоммерческой организацией, созданной в соответствии с </w:t>
      </w:r>
      <w:hyperlink r:id="rId23" w:tooltip="Постановление КМ РТ от 16.10.1997 N 783 (ред. от 03.12.2011) &quot;О Центре экономических и социальных исследований Республики Татарстан при Кабинете Министров Республики Татарстан&quot; ------------ Недействующая редакция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Кабинета Министров Республики Татарстан от 16 октября 1997 года N 783 "О Центре экономических и социальных исследований Республики Татарстан при Кабинете Министров Республики Татарстан".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1.2. Официальное наименование Учреждения: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полное наименование Учреждения - государственное бюджетное учреждение "Центр экономических и социальных исследований Республики Татарстан при Кабинете Министров Республики Татарстан";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сокращенное наименование Учреждения - ГБУ "ЦЭСИ РТ".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1.3. Учреждение является юридическим лицом и вправе от своего имени приобретать имущественные и личные неимущественные права, нести обязанности, выступать в качестве истца и ответчика в судах.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1.4. Учредителем Учреждения и собственником его имущества является Республика Татарстан.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1.5. Функции и полномочия учредителя Учреждения от имени Республики Татарстан осуществляет Кабинет Министров Республики Татарстан (далее - Учредитель).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1.6. Функции и полномочия собственника имущества Учреждения от имени Республики Татарстан осуществляет Министерство земельных и имущественных отношений Республики Татарстан (далее - собственник имущества).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1.7. Учреждение осуществляет свою деятельность на территории Республики Татарстан в соответствии с законодательством Российской Федерации и законодательством Республики Татарстан и настоящим Уставом.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24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1.8. Учреждение в пределах своей компетенции взаимодействует с территориальными органами федеральных органов исполнительной власти, органами исполнит</w:t>
      </w:r>
      <w:r>
        <w:rPr>
          <w:sz w:val="24"/>
        </w:rPr>
        <w:t xml:space="preserve">ельной власти Республики Татарстан, Республиканской межведомственной комиссией по повышению уровня жизни и легализации доходов, органами местного самоуправления муниципальных образований Республики Татарстан, организациями независимо от форм собственности.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25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1.9. Учреждение имеет круглую печать с изображением Государственного герба Республики Татарстан и своим наименованием, соответствующие штампы и бланки со своим наименованием на русском и татарском языках.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1.10. Место нахождения Учреждения: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Республика Татарстан, 420088, г. Казань, ул. Ак. Губкина, д. 50.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Почтовый адрес Учреждения: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Республика Татарстан, 420088, г. Казань, ул. Ак. Губкина, д. 50.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7"/>
        <w:pBdr/>
        <w:spacing/>
        <w:ind/>
        <w:jc w:val="center"/>
        <w:outlineLvl w:val="1"/>
        <w:rPr/>
      </w:pPr>
      <w:r>
        <w:rPr>
          <w:sz w:val="24"/>
        </w:rPr>
        <w:t xml:space="preserve">2. Предмет, цели и основные виды деятельности Учреждения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 w:firstLine="540"/>
        <w:jc w:val="both"/>
        <w:rPr/>
      </w:pPr>
      <w:r>
        <w:rPr>
          <w:sz w:val="24"/>
        </w:rPr>
        <w:t xml:space="preserve">2.1. Предметом деятельности Учреждения является выполнение работ, непосредственно направленных на достижение уставных целей Учреждения.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2.2. Целями деятельности Учреждения являются аналитическое, нормативно-методическое и информацио</w:t>
      </w:r>
      <w:r>
        <w:rPr>
          <w:sz w:val="24"/>
        </w:rPr>
        <w:t xml:space="preserve">нное сопровождение процессов принятия управленческих решений, формирование прогнозных экономических показателей, обеспечивающих осуществление социально-экономических преобразований в Республике Татарстан, а также осуществление образовательной деятельности.</w:t>
      </w:r>
      <w:r/>
    </w:p>
    <w:p>
      <w:pPr>
        <w:pStyle w:val="875"/>
        <w:pBdr/>
        <w:spacing w:before="240"/>
        <w:ind w:firstLine="540"/>
        <w:jc w:val="both"/>
        <w:rPr/>
      </w:pPr>
      <w:r/>
      <w:bookmarkStart w:id="69" w:name="P69"/>
      <w:r/>
      <w:bookmarkEnd w:id="69"/>
      <w:r>
        <w:rPr>
          <w:sz w:val="24"/>
        </w:rPr>
        <w:t xml:space="preserve">2.3. Для достижения поставленных целей Учреждение осуществляет следующие основные виды деятельности: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2.3.1. Анализ процессов социально-экономических преобразований в Республике Татарстан и подготовка предложений, обеспечивающих их реализацию.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2.3.2. Прогноз последствий социально-экономических преобразований в различных секторах экономики и социальной сферы.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2.3.3. Анализ и прогнозирование изменения качества жизни населения.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2.3.4. Проведение экспертизы программ, проектов нормативных правовых актов в пределах компетенции Учреждения.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2.3.5. Анализ эффективности деятельности республиканских ор</w:t>
      </w:r>
      <w:r>
        <w:rPr>
          <w:sz w:val="24"/>
        </w:rPr>
        <w:t xml:space="preserve">ганов исполнительной власти, государственных и муниципальных учреждений, органов местного самоуправления муниципальных образований Республики Татарстан в части переданных им государственных полномочий и подготовка предложений по решению выявленных проблем.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26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2.3.6. Проведение в установленном порядке анализа финансовой устойчивости и производственно-хозяйственной деятельности организаций, подготовка предложений по их финансовому оздоровлению.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2.3.7. Проведение социологических исследований.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2.3.8. Обеспечение органов государственной власти Республики Татарстан аналитической и прогнозной информацией о качестве жизни населения.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2.3.9. Методическое сопровожде</w:t>
      </w:r>
      <w:r>
        <w:rPr>
          <w:sz w:val="24"/>
        </w:rPr>
        <w:t xml:space="preserve">ние разработки административных регламентов предоставления государственных услуг республиканскими органами исполнительной власти, муниципальных услуг органами местного самоуправления муниципальных образований Республики Татарстан, проведение их экспертизы.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27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2.3.10. Участие в проведении анализа хода модернизации системы государственного управления в Республике Татарстан и подготовка предложений по ее развитию.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2.3.11. Анализ развития системы местного самоуправления и подготовка предложений по ее совершенствованию.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2.3.12. Анализ развития инновационной и научной деятельности и подготовка предложений по ее развитию.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2.3.13. Методическое сопровождение процесса предоставления государственных услуг республиканскими органами исполнительной власти.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28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2.3.14. Организация п</w:t>
      </w:r>
      <w:r>
        <w:rPr>
          <w:sz w:val="24"/>
        </w:rPr>
        <w:t xml:space="preserve">роцесса мониторинга соответствия качества предоставляемых государственных услуг установленным стандартам качества государственных услуг, оказываемых государственными учреждениями Республики Татарстан, и подготовка предложений по решению выявленных проблем.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</w:t>
      </w:r>
      <w:r>
        <w:rPr>
          <w:sz w:val="24"/>
        </w:rPr>
        <w:t xml:space="preserve">.3.15. Организационно-методическое и информационное сопровождение деятельности по организации независимой оценки качества условий оказания услуг организациями в сфере культуры, социального обслуживания, охраны здоровья и образования в Республике Татарстан.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2.3.16. Организация процесса мониторинга выполнения государственных, муниципальных заданий государственными, муниципальными учреждениями.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2.3.17. Формирование и поддержание в актуа</w:t>
      </w:r>
      <w:r>
        <w:rPr>
          <w:sz w:val="24"/>
        </w:rPr>
        <w:t xml:space="preserve">льном состоянии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</w:t>
      </w:r>
      <w:r>
        <w:rPr>
          <w:sz w:val="24"/>
        </w:rPr>
        <w:t xml:space="preserve">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2.3.18. Разработка методической и нормативной правовой базы по развитию системы показателей уровня социальных гарантий обеспеченности общественной инфраструктурой, социальными услугами в Республике Татарстан.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29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2.3.19. Организация процесса мониторинга потребности в государственных услугах в Республике Татарстан.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2.3.20. Разработка методической и нормативной правовой базы по развитию системы нормативного финансирования государственных услуг в Республике Татарстан.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2.3.21. Участие в разработке информационных технологий и организация с их использованием мониторинга характеристик объектов общественной инфраструктуры на территории Республики Татарстан.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2.3.22. Участие в разработке информационных технологий и организация с их использованием формирования государственных и муниципальных заданий для государственных и муниципальных учреждений, отчетов об их исполнении.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2.3.23. Расчет бюджетной потребности на оказание государственных услуг в социальной сфере Республики Татарстан на основе нормативного финансирования.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2.3.24. Разработка нормативов обеспеченности республиканских органов исполнительной власти и подведомственных им организаций продуктами питания, транспортными средствами и предметами материально-технического обеспечения.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30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2.3.25. Разработка методической и нормативной правовой базы по переходу на новые системы оплаты труда работников бюджетной сферы.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2.3.26. Организационное и методическое сопровождение процесса привлечения организаций при организации предоставления государственных услуг республиканскими органами исполнительной власти.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31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2.3.27. Подготовка аналитических, научно-методических и информационных материалов для органов государственной власти Республики Татарстан и органов местного самоуправления муниципальных образований Республики Татарстан.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2.3.28. Информационно-аналитическое и методическое сопровождение деятельности Распределенного ситуационного центра Республики Татарстан.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2.3.29. Методическое сопровождение разработки проектов положений о видах регионального государственного контроля (надзора).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32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2.3.30. Проведение экспертизы проектов проектов положений о видах регионального государственного контроля (надзора).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33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2.3.31. Осуществление взаимодействия с муниципальными образованиями Республики Татарстан по основным видам деятельности, указанным в </w:t>
      </w:r>
      <w:hyperlink w:tooltip="2.3. Для достижения поставленных целей Учреждение осуществляет следующие основные виды деятельности:" w:anchor="P69" w:history="1">
        <w:r>
          <w:rPr>
            <w:color w:val="0000ff"/>
            <w:sz w:val="24"/>
          </w:rPr>
          <w:t xml:space="preserve">пункте 2.3</w:t>
        </w:r>
      </w:hyperlink>
      <w:r>
        <w:rPr>
          <w:sz w:val="24"/>
        </w:rPr>
        <w:t xml:space="preserve"> настоящего Устава.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2.4. В соответствии с основными видами деятельности Учреждение в установленном законодательством порядке в рамках государственного задания выполняет следующие государственные работы: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проведение прикладных научных исследований;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научно-методическое обеспечение;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ведение информационных ресурсов и баз данных;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административное обеспечение деятельности организации (управление проектами, проведение анализа, проведение мониторинга, проведение экспертизы, информационно-аналитическое обеспечение).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2.5. Государственное задание для Учреждения формируется и утверждается Учредителем в порядке, определенном Кабинетом Министров Республики Татарстан, в соответствии с предусмотренными настоящим Уставом основными видами деятельности Учреждения.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Учреждение не вправе отказаться от выполнения государственного задания.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2.6. Учреждение осуществляет в соответствии с законодательством следующие виды приносящей доход деятельности: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выполнение научно-исследовательских, информационно-аналитических, издательских работ и оказание услуг по государственным контрактам, грантам или договорам с физическими или юридическими лицами;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оказание копировально-множительных услуг;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разработка программного обеспечения;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оказание услуг, связанных с созданием и использованием баз данных и информационных ресурсов;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осуществление образовательной деятельности.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2.7. Пра</w:t>
      </w:r>
      <w:r>
        <w:rPr>
          <w:sz w:val="24"/>
        </w:rPr>
        <w:t xml:space="preserve">во Учреждения осуществлять деятельность, на которую в соответствии с законодательством Российской Федерации требуется специальное разрешение (лицензия), возникает у Учреждения с момента его получения, если иное не установлено федеральным законодательством.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2.8. Учреждение обеспечивает учет и сохранность документов по личному составу, а также своевременную передачу их в государственный архив Республики Татарстан в установленном порядке при реорганизации или ликвидации Учреждения.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2.9. Учреждение не вправе осуществлять виды деятельности, не предусмотренные настоящим Уставом.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7"/>
        <w:pBdr/>
        <w:spacing/>
        <w:ind/>
        <w:jc w:val="center"/>
        <w:outlineLvl w:val="1"/>
        <w:rPr/>
      </w:pPr>
      <w:r>
        <w:rPr>
          <w:sz w:val="24"/>
        </w:rPr>
        <w:t xml:space="preserve">3. Права и обязанности Учреждения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 w:firstLine="540"/>
        <w:jc w:val="both"/>
        <w:rPr/>
      </w:pPr>
      <w:r>
        <w:rPr>
          <w:sz w:val="24"/>
        </w:rPr>
        <w:t xml:space="preserve">3.1. Учреждению для организации и осуществления своей деятельности предоставлены следующие права: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заключать все виды договоров с юридическими и физическими лицами, не противоречащих законодательству, а также целям деятельности Учреждения;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34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разрабатывать в пределах своей компетенции проекты нормативных правовых актов;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35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запрашивать в установленном порядке необходимую информацию от республиканских органов исполнительной власти, органов местного самоуправления муниципальных образований Республики Татарстан, организаций;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36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осуществлять по согласованию с организациями различных форм собственности мониторинг их деятельности в пределах своей компетенции, по материалам, предоставляемым ими в добровольном порядке;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в установленном законодательством порядке привлекать для осуществления своих задач организации (государственные и коммерческие), специалистов и экспертов сторонних организаций на договорной основе.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3.2. Учреждение обязано: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в полном объеме выполнять утвержденное государственное задание;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составлять и представлять на утверждение Учредителю план финансово-хозяйственной деятельности Учреждения в порядке, установленном Учредителем;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представлять Учредителю отчет о своей деятельности и использовании закрепленного за Учреждением имущества, порядок составления и утверждения которого определяется Учредителем Учреждения;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представлять Учредителю бухгалтерскую и статистическую отчетность в порядке, установленном законодательством Российской Федерации;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представлять собственнику имущества отчет об использовании имущества в установленном порядке;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обеспечивать защиту информации конфиденциального характера (включая персональные данные);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обеспечивать учет, сохранность и использование архивных документов</w:t>
      </w:r>
      <w:r>
        <w:rPr>
          <w:sz w:val="24"/>
        </w:rPr>
        <w:t xml:space="preserve"> (постоянного хранения и по личному составу), в том числе выдачу архивных документов, связанных с социальной защитой граждан, и своевременную передачу их на хранение в архивные учреждения в установленном порядке при реорганизации или ликвидации Учреждения;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обеспечивать организацию и ведение делопроизводства Учреждения в соответствии с установленными требованиями;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оплачивать труд работников Учреждения с соблюдением гарантий, установленных законодательством Российской Федерации и законодательством Республики Татарстан.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37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7"/>
        <w:pBdr/>
        <w:spacing/>
        <w:ind/>
        <w:jc w:val="center"/>
        <w:outlineLvl w:val="1"/>
        <w:rPr/>
      </w:pPr>
      <w:r>
        <w:rPr>
          <w:sz w:val="24"/>
        </w:rPr>
        <w:t xml:space="preserve">4. Имущество и финансовое обеспечение Учреждения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 w:firstLine="540"/>
        <w:jc w:val="both"/>
        <w:rPr/>
      </w:pPr>
      <w:r>
        <w:rPr>
          <w:sz w:val="24"/>
        </w:rPr>
        <w:t xml:space="preserve">4.1. Имущество Учреждения закрепляется за ним на праве оперативного управления.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Земельный участок, необходимый для выполнения Учреждением основных видов деятельности, предоставляется ему на праве постоянного (бессрочного) пользования.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4.2. Учреждение в отношении имущества, закрепленного за ним на праве оперативного управления, осуществляе</w:t>
      </w:r>
      <w:r>
        <w:rPr>
          <w:sz w:val="24"/>
        </w:rPr>
        <w:t xml:space="preserve">т право владения, пользования им в пределах, установленных законодательством, в соответствии с целями своей деятельности и назначением имущества и, если иное не установлено законодательством, распоряжается этим имуществом с согласия собственника имущества.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Имущество Учреждения находится в собственности Республики Татарстан.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Собственник имущества вправе изъять излишнее, неиспользуемое или используемое не по назначению имущество и распорядиться им по своему усмотрению.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4.3. 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</w:t>
      </w:r>
      <w:r>
        <w:rPr>
          <w:sz w:val="24"/>
        </w:rPr>
        <w:t xml:space="preserve">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учредителем средств, а также недвижимого имущества.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Собственник имущества Учреждения не несет ответственности по обязательствам Учреждения.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4.4. Право оперативного управ</w:t>
      </w:r>
      <w:r>
        <w:rPr>
          <w:sz w:val="24"/>
        </w:rPr>
        <w:t xml:space="preserve">ления имуществом, в отношении которого собственником имущества принято решение о закреплении его за Учреждением, возникает у Учреждения со дня передачи имущества, если иное не установлено законом, иными правовыми актами или решением собственника имущества.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Продукция и доходы от использования имущества, находящегося в оперативном управлении Учреждения, а также имущество, приобретенное им по договору или иным основаниям, поступают в Учреждение в порядке, установленном Гражданским </w:t>
      </w:r>
      <w:hyperlink r:id="rId38" w:tooltip="&quot;Гражданский кодекс Российской Федерации (часть первая)&quot; от 30.11.1994 N 51-ФЗ (ред. от 18.07.2019) (с изм. и доп., вступ. в силу с 01.10.2019) ------------ Недействующая редакция {КонсультантПлюс}" w:history="1">
        <w:r>
          <w:rPr>
            <w:color w:val="0000ff"/>
            <w:sz w:val="24"/>
          </w:rPr>
          <w:t xml:space="preserve">кодексом</w:t>
        </w:r>
      </w:hyperlink>
      <w:r>
        <w:rPr>
          <w:sz w:val="24"/>
        </w:rPr>
        <w:t xml:space="preserve"> Российской Федерации, другими законами и иными правовыми актами.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Учреждению запрещено совершение сделок, возможными последствиями которых являются отчуждение или обременение имущества, закрепленного за Учреждением.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4.5. Учреждение ос</w:t>
      </w:r>
      <w:r>
        <w:rPr>
          <w:sz w:val="24"/>
        </w:rPr>
        <w:t xml:space="preserve">уществляет операции с поступающими ему в соответствии с законодательством средствами через лицевые счета, открываемые в территориальных органах Департамента казначейства Министерства финансов Республики Татарстан в порядке, установленном законодательством.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4.6. Учреждение вправе осуществлять приносящую доходы деятельность </w:t>
      </w:r>
      <w:r>
        <w:rPr>
          <w:sz w:val="24"/>
        </w:rPr>
        <w:t xml:space="preserve">лишь постольку, поскольку это служит достижению целей, ради которых оно создано, и соответствующую этим целям. Доходы, полученные от указанной деятельности, и приобретенное за счет этих доходов имущество поступают в самостоятельное распоряжение Учреждения.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4.7. Источниками формирования имущества и финансирования Учреждения являются: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субсидии из бюджета Республики Татарстан на цели, связанные с финансовым обеспечением выполнения государственного задания на оказание государственных услуг, выполнение работ;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субсидии, предоставленные в соответствии с Законом Республики Татарстан о бюджете на соответствующий финансовый год на цели, не связанные с финансовым обеспечением выполнения государственного задания на оказание государственных услуг (целевые субсидии);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имущество, переданное собственником в оперативное управление;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средства от приносящей доход деятельности, осуществляемой в соответствии с настоящим Уставом;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добровольные имущественные взносы и пожертвования;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иные источники, предусмотренные законодательством.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4.8. 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4.9. Учреждение без согласия собственника имущес</w:t>
      </w:r>
      <w:r>
        <w:rPr>
          <w:sz w:val="24"/>
        </w:rPr>
        <w:t xml:space="preserve">тва не вправе распоряжаться особо ценным движимым имуществом, закрепленным за ним собственником имущества или приобретенным Учреждением за счет средств, выделенных ему собственником имущества на приобретение такого имущества, а также недвижимым имуществом.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4.10. Финансовое обеспечение выполнения государственного задания Учреждения осуществляется в виде субсидий из бюджета Республики Татарстан на указанные цели.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Учреждение ежегодно в сроки, определенные Учредителем, представляет Учредителю расчет расходов на содержание недвижимого имущества и особо ценного движимого имущества, закреплен</w:t>
      </w:r>
      <w:r>
        <w:rPr>
          <w:sz w:val="24"/>
        </w:rPr>
        <w:t xml:space="preserve">ных за Учреждением или приобретенных за счет выделенных ему Учредителем средств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В соответствии с Бюджетным </w:t>
      </w:r>
      <w:hyperlink r:id="rId39" w:tooltip="&quot;Бюджетный кодекс Российской Федерации&quot; от 31.07.1998 N 145-ФЗ (ред. от 04.11.2019, с изм. от 12.11.2019) ------------ Недействующая редакция {КонсультантПлюс}" w:history="1">
        <w:r>
          <w:rPr>
            <w:color w:val="0000ff"/>
            <w:sz w:val="24"/>
          </w:rPr>
          <w:t xml:space="preserve">кодексом</w:t>
        </w:r>
      </w:hyperlink>
      <w:r>
        <w:rPr>
          <w:sz w:val="24"/>
        </w:rPr>
        <w:t xml:space="preserve"> Российской Федерации Учреждению могут предоставляться субсидии из бюджета Республики Татарстан на иные цели.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7"/>
        <w:pBdr/>
        <w:spacing/>
        <w:ind/>
        <w:jc w:val="center"/>
        <w:outlineLvl w:val="1"/>
        <w:rPr/>
      </w:pPr>
      <w:r>
        <w:rPr>
          <w:sz w:val="24"/>
        </w:rPr>
        <w:t xml:space="preserve">5. Организация деятельности и управление Учреждением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 w:firstLine="540"/>
        <w:jc w:val="both"/>
        <w:rPr/>
      </w:pPr>
      <w:r>
        <w:rPr>
          <w:sz w:val="24"/>
        </w:rPr>
        <w:t xml:space="preserve">5.1. Управление Учреждением осуществляется в соответствии с законодательством и настоящим Уставом.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5.2. К компетенции Учредителя в области управления Учреждением относятся: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установление Учреждению государственного задания, принятие решения об изменении государственного задания;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40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осуществление финансового обеспечения выполнения государственного задания Учреждением в порядке, утвержденном Кабинетом Министров Республики Татарстан;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принятие решений о назначении директора Учреждения и прекращении его полномочий, заключение и прекращение трудового договора с директором Учреждения, внесение в него изменений;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предварительное согласование крупных сделок Учреждения;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рассмотрение обращений Учреждения о согласовании сделок с недвижимым имуществом и особо ценным движимым имуществом, находящимся в оперативном управлении Учреждения, и передаче имущества Учреждения, за исключением осо</w:t>
      </w:r>
      <w:r>
        <w:rPr>
          <w:sz w:val="24"/>
        </w:rPr>
        <w:t xml:space="preserve">бо ценного движимого имущества, закрепленного за Учреждением или приобретенного за счет средств, выделенных ему Учредителем на приобретение такого имущества, а также недвижимого имущества, некоммерческим организациям в качестве их учредителя или участника;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принятие решений о согласовании передачи денежных средств Учреждения некоммерческим организациям в качестве их учредителя или участника;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определение Учреждению видов особо ценного имущества, закрепленного за Учреждением;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решение иных вопросов, предусмотренных законодательством.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5.3. К компетенции собственника имущества относятся: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согласование проекта устава Учреждения и внесения в него изменений в порядке, установленном Кабинетом Министров Республики Татарстан;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закрепление за Учреждением имущества на праве оперативного управления: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принятие решений: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об исключении из состава особо ценного движимого имущества объектов, закрепленных за Учреждением;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 согласовании сделок с недвижимым имуществом и особо ценным движимым имуществом, находящимся в оперативном управлении Учреждения;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 согласовании передачи имущества Учреждения, за исключением осо</w:t>
      </w:r>
      <w:r>
        <w:rPr>
          <w:sz w:val="24"/>
        </w:rPr>
        <w:t xml:space="preserve">бо ценного движимого имущества, закрепленного за Учреждением или приобретенного за счет средств, выделенных ему Учредителем на приобретение такого имущества, а также недвижимого имущества, некоммерческим организациям в качестве их учредителя или участника;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об изъятии излишнего, неиспользуемого или используемого не по назначению имущества, закрепленного за Учреждением либо приобретенного Учреждением за счет средств, выделенных ему Учредителем на приобретение этого имущества;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 дальнейшем использовании имущества Учреждения, оставшегося после удовлетворения требований кредиторов, а также имущества, на которое в соответствии с федеральными законами не может быть обращено взыскание по обязательствам Учреждения;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осуществление контроля за деятельностью Учреждения в рамках своей компетенции в порядке, определенном Кабинетом Министров Республики Татарстан.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5.4. Учреждение возглавляет директор.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Директор Учреждения назначается (утверждается) на должность и освобождается от должности решением Учредителя.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Директор Учреждения осуществляет тек</w:t>
      </w:r>
      <w:r>
        <w:rPr>
          <w:sz w:val="24"/>
        </w:rPr>
        <w:t xml:space="preserve">ущее руководство деятельностью Учреждения, за исключением вопросов, отнесенных законодательством или настоящим Уставом к компетенции Учредителя, собственника имущества, на основе единоначалия и несет персональную ответственность за деятельность Учреждения.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Директор имеет заместителей.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Заместители директора в соответствии с приказом директора о распределении обязанностей обеспечивают осуществление основных видов деятельности Учреждения.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В период отсутствия директора Учреждения (отпуск, командировка, болезнь) по приказу директора Учреждения один из заместителей руководит деятельностью Учреждения и несет ответственность за деятельность Учреждения.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5.4.1. К компетенции директора Учреждения относятся: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принятие решения по всем вопросам деятельности Учреждения, за исключением отнесенных законодательством или настоящим Уставом к компетенции Учредителя или собственника имущества;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представление интересов Учреждения во всех органах и организациях независимо от организационно-правовой формы и ведомственной принадлежности на территории Республики Татарстан и за ее пределами;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заключение гражданско-правовых договоров (контрактов) и соглашений в соответствии с законодательством;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41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подписание документов по вопросам, входящим в компетенцию Учреждения;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выдача доверенностей;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утверждение штатного расписания Учреждения, положений об оплате труда за счет средств от приносящей доход деятельности;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утверждение плана финансово-хозяйственной деятельности Учреждения;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утверждение годовой бухгалтерской отчетности Учреждения;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распоряжение средствами, находящимися на лицевых счетах Учреждения;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утверждение внутренних документов, регламентирующих деятельность Учреждения;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утверждение должностных инструкций работников Учреждения;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прием на работу, назначение на должность и увольнение с должности работников Учреждения, заключение с ними трудовых договоров в соответствии с законодательством о труде;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обеспечение в установленном законодательством порядке профессиональной подготовки, переподготовки и аттестации работников Учреждения;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поощрение работников Учреждения и привлечение их к дисциплинарной ответственности;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издание приказов, распоряжений, указаний, обязательных для исполнения всеми работниками Учреждения;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представление Учредителю годового плана и годового отчета о деятельности Учреждения.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(абзац введен </w:t>
      </w:r>
      <w:hyperlink r:id="rId42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5.4.2. Утратил силу. - </w:t>
      </w:r>
      <w:hyperlink r:id="rId43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КМ РТ от 08.12.2023 N 1573.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5.4.3. Для содействия осуществлению основных функций Учреждения в его составе формируется научно-координационный совет, в который по представлению директора</w:t>
      </w:r>
      <w:r>
        <w:rPr>
          <w:sz w:val="24"/>
        </w:rPr>
        <w:t xml:space="preserve"> Учреждения включаются ведущие специалисты Учреждения и по согласованию представители других организаций, участвующие в решении социально-экономических проблем Республики Татарстан. Председателем научно-координационного совета является директор Учреждения.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7"/>
        <w:pBdr/>
        <w:spacing/>
        <w:ind/>
        <w:jc w:val="center"/>
        <w:outlineLvl w:val="1"/>
        <w:rPr/>
      </w:pPr>
      <w:r>
        <w:rPr>
          <w:sz w:val="24"/>
        </w:rPr>
        <w:t xml:space="preserve">6. Учетная деятельность и отчетность Учреждения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 w:firstLine="540"/>
        <w:jc w:val="both"/>
        <w:rPr/>
      </w:pPr>
      <w:r>
        <w:rPr>
          <w:sz w:val="24"/>
        </w:rPr>
        <w:t xml:space="preserve">6.1. Учреждение ведет учет результатов своей деятельности и отчитывается по ней перед Учредителем, ведет бухгалтерский учет финансово-хозяйственной деятельности, составляет бухгалтерскую и статистическую отчетность.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Учреждение ведет учет доходов и расходов от приносящей доход деятельности и отражает их на отдельном балансе.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6.2. Устав Учреждения, регистрационные документы, документы, дающие право заниматься приносящей доход деятельностью, сведения по установленным формам от</w:t>
      </w:r>
      <w:r>
        <w:rPr>
          <w:sz w:val="24"/>
        </w:rPr>
        <w:t xml:space="preserve">четности о финансово-хозяйственной деятельности, размеры и структура доходов и расходов Учреждения, а также сведения о размерах и составе имущества, численности и составе работников, об оплате их труда не могут быть предметом коммерческой тайны Учреждения.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6.3. Проверка деятельности Учреждения осуществляется в установленном законодательством порядке.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(п. 6.3 в ред. </w:t>
      </w:r>
      <w:hyperlink r:id="rId44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7"/>
        <w:pBdr/>
        <w:spacing/>
        <w:ind/>
        <w:jc w:val="center"/>
        <w:outlineLvl w:val="1"/>
        <w:rPr/>
      </w:pPr>
      <w:r>
        <w:rPr>
          <w:sz w:val="24"/>
        </w:rPr>
        <w:t xml:space="preserve">7. Порядок внесения изменений в учредительные документы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 w:firstLine="540"/>
        <w:jc w:val="both"/>
        <w:rPr/>
      </w:pPr>
      <w:r>
        <w:rPr>
          <w:sz w:val="24"/>
        </w:rPr>
        <w:t xml:space="preserve">7.1. Изменения в настоящий Устав вносятся в порядке, установленном законодательством.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45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7.2. Изменения в Устав вступают в силу со дня их государственной регистрации.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7"/>
        <w:pBdr/>
        <w:spacing/>
        <w:ind/>
        <w:jc w:val="center"/>
        <w:outlineLvl w:val="1"/>
        <w:rPr/>
      </w:pPr>
      <w:r>
        <w:rPr>
          <w:sz w:val="24"/>
        </w:rPr>
        <w:t xml:space="preserve">8. Порядок реорганизации и ликвидации Учреждения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 w:firstLine="540"/>
        <w:jc w:val="both"/>
        <w:rPr/>
      </w:pPr>
      <w:r>
        <w:rPr>
          <w:sz w:val="24"/>
        </w:rPr>
        <w:t xml:space="preserve">8.1. Деятельность Учреждения может быть прекращена по решению Учредителя.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8.2. При реорганизации Учреждения вносятся необходимые изменения в настоящий Устав и Единый государственный реестр юридических лиц.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Реорганизация влечет за собой переход прав и обязанностей Учреждения к его правопреемнику в соответствии с законодательством.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46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8.3. Ликвидация Учреждения влечет прекращение его деятельности без перехода прав и обязанностей в порядке правопреемства к другим лицам.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8.4. Орг</w:t>
      </w:r>
      <w:r>
        <w:rPr>
          <w:sz w:val="24"/>
        </w:rPr>
        <w:t xml:space="preserve">ан, принявший решение о ликвидации Учреждения, назначает по согласованию с органом, осуществляющим государственную регистрацию юридических лиц, ликвидационную комиссию, к которой с момента ее назначения переходят полномочия по управлению делами Учреждения.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Ликвидационная комиссия выступает в суде от имени ликвидируемого Учреждения.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8.5. При ликвидации Учреждения оставшееся после удовлетворения требований кредиторов имущество передается собственнику имущества.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8.6. Ликвидация считается завершенной, а Учреждение прекратившим свое существование после внесения об этом записи в Единый государственный реестр юридических лиц.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8.7. При реорганизации или ликвидации Учреждения увольняемым работникам гарантируется соблюдение их прав и интересов в соответствии с законодательством.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8.8. При реорганизации, ликвидации Учреждения или прекращении работ, содержащих сведения, составляющие государственную тайну, Учреждение обязано обеспечить сохранность этих сведений и их носителей в соответствии с законодательством.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47" w:tooltip="Постановление КМ РТ от 08.12.2023 N 1573 &quot;О внесении изменений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08.12.2023 N 1573)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7"/>
        <w:pBdr/>
        <w:spacing/>
        <w:ind/>
        <w:jc w:val="center"/>
        <w:outlineLvl w:val="1"/>
        <w:rPr/>
      </w:pPr>
      <w:r>
        <w:rPr>
          <w:sz w:val="24"/>
        </w:rPr>
        <w:t xml:space="preserve">9. Предотвращение и урегулирование конфликта интересов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 w:firstLine="540"/>
        <w:jc w:val="both"/>
        <w:rPr/>
      </w:pPr>
      <w:r>
        <w:rPr>
          <w:sz w:val="24"/>
        </w:rPr>
        <w:t xml:space="preserve">9.1. Под конфликтом интересов понимается ситуация, при которой личная заинтересованность работника Учреждения может повлиять на надлежащее исполнение им трудовых обязанностей и при которой возни</w:t>
      </w:r>
      <w:r>
        <w:rPr>
          <w:sz w:val="24"/>
        </w:rPr>
        <w:t xml:space="preserve">кает или может возникнуть противоречие между личной заинтересованностью работника Учреждения и правами и законными интересами Учреждения, работником которого он является, способное привести к причинению вреда имуществу и (или) деловой репутации Учреждения.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9.2. Под личной заинтересованностью работника Учреждения, которая влияет или может повлиять на надлежащее исполнение им трудовых обя</w:t>
      </w:r>
      <w:r>
        <w:rPr>
          <w:sz w:val="24"/>
        </w:rPr>
        <w:t xml:space="preserve">занностей, понимается возможность получения работником Учреждения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9.3. Директор Учреждения обязан у</w:t>
      </w:r>
      <w:r>
        <w:rPr>
          <w:sz w:val="24"/>
        </w:rPr>
        <w:t xml:space="preserve">ведомлять Премьер-министра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интересов, в порядке, установленном Кабинетом Министров Республики Татарстан.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  <w:t xml:space="preserve">(п. 9.3 в ред. </w:t>
      </w:r>
      <w:hyperlink r:id="rId48" w:tooltip="Постановление КМ РТ от 07.04.2026 N 366 &quot;О внесении изменения в Устав государственного бюджетного учреждения &quot;Центр экономических и социальных исследований Республики Татарстан при Кабинете Министров Республики Татарстан&quot;, утвержденный постановлением Кабинета Министров Республики Татарстан от 03.12.2011 N 989 &quot;О государственном бюджетном учреждении &quot;Центр экономических и социальных исследований Республики Татарстан при Кабинете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07.04.2026 N 366)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9.4. Работник Учреждения обязан уведомлять директора Учреждения о возникновении личной заинтересованности при исполнении должностных обязанносте</w:t>
      </w:r>
      <w:r>
        <w:rPr>
          <w:sz w:val="24"/>
        </w:rPr>
        <w:t xml:space="preserve">й, которая приводит или может привести к конфликту интересов. Порядок уведомления директора Учреждения, перечень сведений, содержащихся в уведомлениях, организация проверки этих сведений и порядок регистрации уведомлений определяются директором Учреждения.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7"/>
        <w:pBdr/>
        <w:spacing/>
        <w:ind/>
        <w:jc w:val="center"/>
        <w:outlineLvl w:val="1"/>
        <w:rPr/>
      </w:pPr>
      <w:r>
        <w:rPr>
          <w:sz w:val="24"/>
        </w:rPr>
        <w:t xml:space="preserve">10. Прочие положения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 w:firstLine="540"/>
        <w:jc w:val="both"/>
        <w:rPr/>
      </w:pPr>
      <w:r>
        <w:rPr>
          <w:sz w:val="24"/>
        </w:rPr>
        <w:t xml:space="preserve">10.1. При смене места нахождения Учреждение обязано в трехдневный срок информировать об этом регистрирующий орган с последующим внесением изменений в настоящий Устав.</w:t>
      </w:r>
      <w:r/>
    </w:p>
    <w:p>
      <w:pPr>
        <w:pStyle w:val="875"/>
        <w:pBdr/>
        <w:spacing w:before="240"/>
        <w:ind w:firstLine="540"/>
        <w:jc w:val="both"/>
        <w:rPr/>
      </w:pPr>
      <w:r>
        <w:rPr>
          <w:sz w:val="24"/>
        </w:rPr>
        <w:t xml:space="preserve">10.2. Учреждение осуществляет мероприятия по гражданской обороне, мобилизационной подготовке в соответствии с законодательством.</w:t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5"/>
        <w:pBdr>
          <w:bottom w:val="single" w:color="000000" w:sz="6" w:space="0"/>
        </w:pBdr>
        <w:spacing w:after="100" w:before="10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440" w:right="566" w:bottom="1440" w:left="1133" w:header="0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Ind w:w="0" w:type="dxa"/>
      <w:tblW w:w="5000" w:type="pct"/>
      <w:tblCellMar>
        <w:left w:w="40" w:type="dxa"/>
        <w:right w:w="40" w:type="dxa"/>
      </w:tblCellMar>
      <w:tblBorders/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Borders/>
          <w:tcW w:w="1650" w:type="pct"/>
          <w:vAlign w:val="center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Ind w:w="0" w:type="dxa"/>
      <w:tblW w:w="5000" w:type="pct"/>
      <w:tblCellMar>
        <w:left w:w="40" w:type="dxa"/>
        <w:right w:w="40" w:type="dxa"/>
      </w:tblCellMar>
      <w:tblBorders/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Borders/>
          <w:tcW w:w="1650" w:type="pct"/>
          <w:vAlign w:val="center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0" w:type="dxa"/>
      <w:tblW w:w="5000" w:type="pct"/>
      <w:tblCellMar>
        <w:left w:w="40" w:type="dxa"/>
        <w:right w:w="40" w:type="dxa"/>
      </w:tblCellMar>
      <w:tblBorders/>
      <w:tblLayout w:type="fixed"/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Borders/>
          <w:tcW w:w="2700" w:type="pct"/>
          <w:vAlign w:val="center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КМ РТ от 03.12.2011 N 989</w:t>
            <w:br/>
            <w:t xml:space="preserve">(ред. от 07.04.2026)</w:t>
            <w:br/>
            <w:t xml:space="preserve">"О государственном бюджетном учреждении "Центр экономически...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24.04.2026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0" w:type="dxa"/>
      <w:tblW w:w="5000" w:type="pct"/>
      <w:tblCellMar>
        <w:left w:w="40" w:type="dxa"/>
        <w:right w:w="40" w:type="dxa"/>
      </w:tblCellMar>
      <w:tblBorders/>
      <w:tblLayout w:type="fixed"/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Borders/>
          <w:tcW w:w="2700" w:type="pct"/>
          <w:vAlign w:val="center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КМ РТ от 03.12.2011 N 989</w:t>
            <w:br/>
            <w:t xml:space="preserve">(ред. от 07.04.2026)</w:t>
            <w:br/>
            <w:t xml:space="preserve">"О государственном бюджетном учреждении "Центр экономически...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24.04.2026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 w:default="1">
    <w:name w:val="Normal"/>
    <w:qFormat/>
    <w:pPr>
      <w:pBdr/>
      <w:spacing/>
      <w:ind/>
    </w:pPr>
  </w:style>
  <w:style w:type="paragraph" w:styleId="139">
    <w:name w:val="Heading 1"/>
    <w:basedOn w:val="138"/>
    <w:next w:val="13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138"/>
    <w:next w:val="13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138"/>
    <w:next w:val="13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138"/>
    <w:next w:val="13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138"/>
    <w:next w:val="13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138"/>
    <w:next w:val="13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138"/>
    <w:next w:val="13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138"/>
    <w:next w:val="13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138"/>
    <w:next w:val="13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138"/>
    <w:next w:val="13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138"/>
    <w:next w:val="13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138"/>
    <w:next w:val="13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13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138"/>
    <w:next w:val="13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13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13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13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138"/>
    <w:next w:val="1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13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13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138"/>
    <w:next w:val="138"/>
    <w:uiPriority w:val="39"/>
    <w:unhideWhenUsed/>
    <w:pPr>
      <w:pBdr/>
      <w:spacing w:after="100"/>
      <w:ind/>
    </w:pPr>
  </w:style>
  <w:style w:type="paragraph" w:styleId="190">
    <w:name w:val="toc 2"/>
    <w:basedOn w:val="138"/>
    <w:next w:val="138"/>
    <w:uiPriority w:val="39"/>
    <w:unhideWhenUsed/>
    <w:pPr>
      <w:pBdr/>
      <w:spacing w:after="100"/>
      <w:ind w:left="220"/>
    </w:pPr>
  </w:style>
  <w:style w:type="paragraph" w:styleId="191">
    <w:name w:val="toc 3"/>
    <w:basedOn w:val="138"/>
    <w:next w:val="138"/>
    <w:uiPriority w:val="39"/>
    <w:unhideWhenUsed/>
    <w:pPr>
      <w:pBdr/>
      <w:spacing w:after="100"/>
      <w:ind w:left="440"/>
    </w:pPr>
  </w:style>
  <w:style w:type="paragraph" w:styleId="192">
    <w:name w:val="toc 4"/>
    <w:basedOn w:val="138"/>
    <w:next w:val="138"/>
    <w:uiPriority w:val="39"/>
    <w:unhideWhenUsed/>
    <w:pPr>
      <w:pBdr/>
      <w:spacing w:after="100"/>
      <w:ind w:left="660"/>
    </w:pPr>
  </w:style>
  <w:style w:type="paragraph" w:styleId="193">
    <w:name w:val="toc 5"/>
    <w:basedOn w:val="138"/>
    <w:next w:val="138"/>
    <w:uiPriority w:val="39"/>
    <w:unhideWhenUsed/>
    <w:pPr>
      <w:pBdr/>
      <w:spacing w:after="100"/>
      <w:ind w:left="880"/>
    </w:pPr>
  </w:style>
  <w:style w:type="paragraph" w:styleId="194">
    <w:name w:val="toc 6"/>
    <w:basedOn w:val="138"/>
    <w:next w:val="138"/>
    <w:uiPriority w:val="39"/>
    <w:unhideWhenUsed/>
    <w:pPr>
      <w:pBdr/>
      <w:spacing w:after="100"/>
      <w:ind w:left="1100"/>
    </w:pPr>
  </w:style>
  <w:style w:type="paragraph" w:styleId="195">
    <w:name w:val="toc 7"/>
    <w:basedOn w:val="138"/>
    <w:next w:val="138"/>
    <w:uiPriority w:val="39"/>
    <w:unhideWhenUsed/>
    <w:pPr>
      <w:pBdr/>
      <w:spacing w:after="100"/>
      <w:ind w:left="1320"/>
    </w:pPr>
  </w:style>
  <w:style w:type="paragraph" w:styleId="196">
    <w:name w:val="toc 8"/>
    <w:basedOn w:val="138"/>
    <w:next w:val="138"/>
    <w:uiPriority w:val="39"/>
    <w:unhideWhenUsed/>
    <w:pPr>
      <w:pBdr/>
      <w:spacing w:after="100"/>
      <w:ind w:left="1540"/>
    </w:pPr>
  </w:style>
  <w:style w:type="paragraph" w:styleId="197">
    <w:name w:val="toc 9"/>
    <w:basedOn w:val="138"/>
    <w:next w:val="13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138"/>
    <w:next w:val="138"/>
    <w:uiPriority w:val="99"/>
    <w:unhideWhenUsed/>
    <w:pPr>
      <w:pBdr/>
      <w:spacing w:after="0" w:afterAutospacing="0"/>
      <w:ind/>
    </w:pPr>
  </w:style>
  <w:style w:type="paragraph" w:styleId="875" w:customStyle="1">
    <w:name w:val="ConsPlusNormal"/>
    <w:pPr>
      <w:widowControl w:val="false"/>
      <w:pBdr/>
      <w:spacing/>
      <w:ind/>
    </w:pPr>
    <w:rPr>
      <w:rFonts w:ascii="Times New Roman" w:hAnsi="Times New Roman" w:cs="Times New Roman"/>
      <w:sz w:val="24"/>
      <w:lang w:val="ru-RU" w:eastAsia="ru-RU" w:bidi="ar-SA"/>
    </w:rPr>
  </w:style>
  <w:style w:type="paragraph" w:styleId="876" w:customStyle="1">
    <w:name w:val="ConsPlusNonformat"/>
    <w:pPr>
      <w:widowControl w:val="false"/>
      <w:pBdr/>
      <w:spacing/>
      <w:ind/>
    </w:pPr>
    <w:rPr>
      <w:rFonts w:ascii="Courier New" w:hAnsi="Courier New" w:cs="Courier New"/>
      <w:sz w:val="20"/>
      <w:lang w:val="ru-RU" w:eastAsia="ru-RU" w:bidi="ar-SA"/>
    </w:rPr>
  </w:style>
  <w:style w:type="paragraph" w:styleId="877" w:customStyle="1">
    <w:name w:val="ConsPlusTitle"/>
    <w:pPr>
      <w:widowControl w:val="false"/>
      <w:pBdr/>
      <w:spacing/>
      <w:ind/>
    </w:pPr>
    <w:rPr>
      <w:rFonts w:ascii="Arial" w:hAnsi="Arial" w:cs="Arial"/>
      <w:b/>
      <w:sz w:val="24"/>
      <w:lang w:val="ru-RU" w:eastAsia="ru-RU" w:bidi="ar-SA"/>
    </w:rPr>
  </w:style>
  <w:style w:type="paragraph" w:styleId="878" w:customStyle="1">
    <w:name w:val="ConsPlusCell"/>
    <w:pPr>
      <w:widowControl w:val="false"/>
      <w:pBdr/>
      <w:spacing/>
      <w:ind/>
    </w:pPr>
    <w:rPr>
      <w:rFonts w:ascii="Courier New" w:hAnsi="Courier New" w:cs="Courier New"/>
      <w:sz w:val="20"/>
      <w:lang w:val="ru-RU" w:eastAsia="ru-RU" w:bidi="ar-SA"/>
    </w:rPr>
  </w:style>
  <w:style w:type="paragraph" w:styleId="879" w:customStyle="1">
    <w:name w:val="ConsPlusDocList"/>
    <w:pPr>
      <w:widowControl w:val="false"/>
      <w:pBdr/>
      <w:spacing/>
      <w:ind/>
    </w:pPr>
    <w:rPr>
      <w:rFonts w:ascii="Tahoma" w:hAnsi="Tahoma" w:cs="Tahoma"/>
      <w:sz w:val="18"/>
      <w:lang w:val="ru-RU" w:eastAsia="ru-RU" w:bidi="ar-SA"/>
    </w:rPr>
  </w:style>
  <w:style w:type="paragraph" w:styleId="880" w:customStyle="1">
    <w:name w:val="ConsPlusTitlePage"/>
    <w:pPr>
      <w:widowControl w:val="false"/>
      <w:pBdr/>
      <w:spacing/>
      <w:ind/>
    </w:pPr>
    <w:rPr>
      <w:rFonts w:ascii="Tahoma" w:hAnsi="Tahoma" w:cs="Tahoma"/>
      <w:sz w:val="20"/>
      <w:lang w:val="ru-RU" w:eastAsia="ru-RU" w:bidi="ar-SA"/>
    </w:rPr>
  </w:style>
  <w:style w:type="paragraph" w:styleId="881" w:customStyle="1">
    <w:name w:val="ConsPlusJurTerm"/>
    <w:pPr>
      <w:widowControl w:val="false"/>
      <w:pBdr/>
      <w:spacing/>
      <w:ind/>
    </w:pPr>
    <w:rPr>
      <w:rFonts w:ascii="Tahoma" w:hAnsi="Tahoma" w:cs="Tahoma"/>
      <w:sz w:val="26"/>
      <w:lang w:val="ru-RU" w:eastAsia="ru-RU" w:bidi="ar-SA"/>
    </w:rPr>
  </w:style>
  <w:style w:type="paragraph" w:styleId="882" w:customStyle="1">
    <w:name w:val="ConsPlusTextList"/>
    <w:pPr>
      <w:widowControl w:val="false"/>
      <w:pBdr/>
      <w:spacing/>
      <w:ind/>
    </w:pPr>
    <w:rPr>
      <w:rFonts w:ascii="Times New Roman" w:hAnsi="Times New Roman" w:cs="Times New Roman"/>
      <w:sz w:val="24"/>
      <w:lang w:val="ru-RU" w:eastAsia="ru-RU" w:bidi="ar-SA"/>
    </w:rPr>
  </w:style>
  <w:style w:type="paragraph" w:styleId="883" w:customStyle="1">
    <w:name w:val="ConsPlusTextList"/>
    <w:pPr>
      <w:widowControl w:val="false"/>
      <w:pBdr/>
      <w:spacing/>
      <w:ind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login.consultant.ru/link/?req=doc&amp;base=RLAW363&amp;n=71164&amp;date=24.04.2026&amp;dst=100005&amp;field=134" TargetMode="External"/><Relationship Id="rId13" Type="http://schemas.openxmlformats.org/officeDocument/2006/relationships/hyperlink" Target="https://login.consultant.ru/link/?req=doc&amp;base=RLAW363&amp;n=144827&amp;date=24.04.2026&amp;dst=100005&amp;field=134" TargetMode="External"/><Relationship Id="rId14" Type="http://schemas.openxmlformats.org/officeDocument/2006/relationships/hyperlink" Target="https://login.consultant.ru/link/?req=doc&amp;base=RLAW363&amp;n=179888&amp;date=24.04.2026&amp;dst=100005&amp;field=134" TargetMode="External"/><Relationship Id="rId15" Type="http://schemas.openxmlformats.org/officeDocument/2006/relationships/hyperlink" Target="https://login.consultant.ru/link/?req=doc&amp;base=RLAW363&amp;n=196969&amp;date=24.04.2026&amp;dst=100005&amp;field=134" TargetMode="External"/><Relationship Id="rId16" Type="http://schemas.openxmlformats.org/officeDocument/2006/relationships/hyperlink" Target="https://login.consultant.ru/link/?req=doc&amp;base=RLAW363&amp;n=53966&amp;date=24.04.2026" TargetMode="External"/><Relationship Id="rId17" Type="http://schemas.openxmlformats.org/officeDocument/2006/relationships/hyperlink" Target="https://login.consultant.ru/link/?req=doc&amp;base=RLAW363&amp;n=34965&amp;date=24.04.2026&amp;dst=100006&amp;field=134" TargetMode="External"/><Relationship Id="rId18" Type="http://schemas.openxmlformats.org/officeDocument/2006/relationships/hyperlink" Target="https://login.consultant.ru/link/?req=doc&amp;base=RLAW363&amp;n=23581&amp;date=24.04.2026" TargetMode="External"/><Relationship Id="rId19" Type="http://schemas.openxmlformats.org/officeDocument/2006/relationships/hyperlink" Target="https://login.consultant.ru/link/?req=doc&amp;base=RLAW363&amp;n=48367&amp;date=24.04.2026&amp;dst=100005&amp;field=134" TargetMode="External"/><Relationship Id="rId20" Type="http://schemas.openxmlformats.org/officeDocument/2006/relationships/hyperlink" Target="https://login.consultant.ru/link/?req=doc&amp;base=RLAW363&amp;n=144827&amp;date=24.04.2026&amp;dst=100005&amp;field=134" TargetMode="External"/><Relationship Id="rId21" Type="http://schemas.openxmlformats.org/officeDocument/2006/relationships/hyperlink" Target="https://login.consultant.ru/link/?req=doc&amp;base=RLAW363&amp;n=179888&amp;date=24.04.2026&amp;dst=100005&amp;field=134" TargetMode="External"/><Relationship Id="rId22" Type="http://schemas.openxmlformats.org/officeDocument/2006/relationships/hyperlink" Target="https://login.consultant.ru/link/?req=doc&amp;base=RLAW363&amp;n=196969&amp;date=24.04.2026&amp;dst=100005&amp;field=134" TargetMode="External"/><Relationship Id="rId23" Type="http://schemas.openxmlformats.org/officeDocument/2006/relationships/hyperlink" Target="https://login.consultant.ru/link/?req=doc&amp;base=RLAW363&amp;n=94097&amp;date=24.04.2026" TargetMode="External"/><Relationship Id="rId24" Type="http://schemas.openxmlformats.org/officeDocument/2006/relationships/hyperlink" Target="https://login.consultant.ru/link/?req=doc&amp;base=RLAW363&amp;n=179888&amp;date=24.04.2026&amp;dst=100006&amp;field=134" TargetMode="External"/><Relationship Id="rId25" Type="http://schemas.openxmlformats.org/officeDocument/2006/relationships/hyperlink" Target="https://login.consultant.ru/link/?req=doc&amp;base=RLAW363&amp;n=179888&amp;date=24.04.2026&amp;dst=100007&amp;field=134" TargetMode="External"/><Relationship Id="rId26" Type="http://schemas.openxmlformats.org/officeDocument/2006/relationships/hyperlink" Target="https://login.consultant.ru/link/?req=doc&amp;base=RLAW363&amp;n=179888&amp;date=24.04.2026&amp;dst=100009&amp;field=134" TargetMode="External"/><Relationship Id="rId27" Type="http://schemas.openxmlformats.org/officeDocument/2006/relationships/hyperlink" Target="https://login.consultant.ru/link/?req=doc&amp;base=RLAW363&amp;n=179888&amp;date=24.04.2026&amp;dst=100010&amp;field=134" TargetMode="External"/><Relationship Id="rId28" Type="http://schemas.openxmlformats.org/officeDocument/2006/relationships/hyperlink" Target="https://login.consultant.ru/link/?req=doc&amp;base=RLAW363&amp;n=179888&amp;date=24.04.2026&amp;dst=100011&amp;field=134" TargetMode="External"/><Relationship Id="rId29" Type="http://schemas.openxmlformats.org/officeDocument/2006/relationships/hyperlink" Target="https://login.consultant.ru/link/?req=doc&amp;base=RLAW363&amp;n=179888&amp;date=24.04.2026&amp;dst=100012&amp;field=134" TargetMode="External"/><Relationship Id="rId30" Type="http://schemas.openxmlformats.org/officeDocument/2006/relationships/hyperlink" Target="https://login.consultant.ru/link/?req=doc&amp;base=RLAW363&amp;n=179888&amp;date=24.04.2026&amp;dst=100013&amp;field=134" TargetMode="External"/><Relationship Id="rId31" Type="http://schemas.openxmlformats.org/officeDocument/2006/relationships/hyperlink" Target="https://login.consultant.ru/link/?req=doc&amp;base=RLAW363&amp;n=179888&amp;date=24.04.2026&amp;dst=100014&amp;field=134" TargetMode="External"/><Relationship Id="rId32" Type="http://schemas.openxmlformats.org/officeDocument/2006/relationships/hyperlink" Target="https://login.consultant.ru/link/?req=doc&amp;base=RLAW363&amp;n=179888&amp;date=24.04.2026&amp;dst=100015&amp;field=134" TargetMode="External"/><Relationship Id="rId33" Type="http://schemas.openxmlformats.org/officeDocument/2006/relationships/hyperlink" Target="https://login.consultant.ru/link/?req=doc&amp;base=RLAW363&amp;n=179888&amp;date=24.04.2026&amp;dst=100016&amp;field=134" TargetMode="External"/><Relationship Id="rId34" Type="http://schemas.openxmlformats.org/officeDocument/2006/relationships/hyperlink" Target="https://login.consultant.ru/link/?req=doc&amp;base=RLAW363&amp;n=179888&amp;date=24.04.2026&amp;dst=100018&amp;field=134" TargetMode="External"/><Relationship Id="rId35" Type="http://schemas.openxmlformats.org/officeDocument/2006/relationships/hyperlink" Target="https://login.consultant.ru/link/?req=doc&amp;base=RLAW363&amp;n=179888&amp;date=24.04.2026&amp;dst=100019&amp;field=134" TargetMode="External"/><Relationship Id="rId36" Type="http://schemas.openxmlformats.org/officeDocument/2006/relationships/hyperlink" Target="https://login.consultant.ru/link/?req=doc&amp;base=RLAW363&amp;n=179888&amp;date=24.04.2026&amp;dst=100020&amp;field=134" TargetMode="External"/><Relationship Id="rId37" Type="http://schemas.openxmlformats.org/officeDocument/2006/relationships/hyperlink" Target="https://login.consultant.ru/link/?req=doc&amp;base=RLAW363&amp;n=179888&amp;date=24.04.2026&amp;dst=100021&amp;field=134" TargetMode="External"/><Relationship Id="rId38" Type="http://schemas.openxmlformats.org/officeDocument/2006/relationships/hyperlink" Target="https://login.consultant.ru/link/?req=doc&amp;base=LAW&amp;n=320453&amp;date=24.04.2026" TargetMode="External"/><Relationship Id="rId39" Type="http://schemas.openxmlformats.org/officeDocument/2006/relationships/hyperlink" Target="https://login.consultant.ru/link/?req=doc&amp;base=LAW&amp;n=336780&amp;date=24.04.2026" TargetMode="External"/><Relationship Id="rId40" Type="http://schemas.openxmlformats.org/officeDocument/2006/relationships/hyperlink" Target="https://login.consultant.ru/link/?req=doc&amp;base=RLAW363&amp;n=179888&amp;date=24.04.2026&amp;dst=100022&amp;field=134" TargetMode="External"/><Relationship Id="rId41" Type="http://schemas.openxmlformats.org/officeDocument/2006/relationships/hyperlink" Target="https://login.consultant.ru/link/?req=doc&amp;base=RLAW363&amp;n=179888&amp;date=24.04.2026&amp;dst=100025&amp;field=134" TargetMode="External"/><Relationship Id="rId42" Type="http://schemas.openxmlformats.org/officeDocument/2006/relationships/hyperlink" Target="https://login.consultant.ru/link/?req=doc&amp;base=RLAW363&amp;n=179888&amp;date=24.04.2026&amp;dst=100026&amp;field=134" TargetMode="External"/><Relationship Id="rId43" Type="http://schemas.openxmlformats.org/officeDocument/2006/relationships/hyperlink" Target="https://login.consultant.ru/link/?req=doc&amp;base=RLAW363&amp;n=179888&amp;date=24.04.2026&amp;dst=100028&amp;field=134" TargetMode="External"/><Relationship Id="rId44" Type="http://schemas.openxmlformats.org/officeDocument/2006/relationships/hyperlink" Target="https://login.consultant.ru/link/?req=doc&amp;base=RLAW363&amp;n=179888&amp;date=24.04.2026&amp;dst=100029&amp;field=134" TargetMode="External"/><Relationship Id="rId45" Type="http://schemas.openxmlformats.org/officeDocument/2006/relationships/hyperlink" Target="https://login.consultant.ru/link/?req=doc&amp;base=RLAW363&amp;n=179888&amp;date=24.04.2026&amp;dst=100031&amp;field=134" TargetMode="External"/><Relationship Id="rId46" Type="http://schemas.openxmlformats.org/officeDocument/2006/relationships/hyperlink" Target="https://login.consultant.ru/link/?req=doc&amp;base=RLAW363&amp;n=179888&amp;date=24.04.2026&amp;dst=100032&amp;field=134" TargetMode="External"/><Relationship Id="rId47" Type="http://schemas.openxmlformats.org/officeDocument/2006/relationships/hyperlink" Target="https://login.consultant.ru/link/?req=doc&amp;base=RLAW363&amp;n=179888&amp;date=24.04.2026&amp;dst=100033&amp;field=134" TargetMode="External"/><Relationship Id="rId48" Type="http://schemas.openxmlformats.org/officeDocument/2006/relationships/hyperlink" Target="https://login.consultant.ru/link/?req=doc&amp;base=RLAW363&amp;n=196969&amp;date=24.04.2026&amp;dst=100005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HeadingPairs>
    <vt:vector size="0" baseType="variant"/>
  </HeadingPairs>
  <TitlesOfParts>
    <vt:vector size="0" baseType="lpstr"/>
  </TitlesOfPart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03.12.2011 N 989
(ред. от 07.04.2026)
"О государственном бюджетном учреждении "Центр экономических и социальных исследований Республики Татарстан при Кабинете Министров Республики Татарстан"</dc:title>
  <cp:revision>1</cp:revision>
  <dcterms:created xsi:type="dcterms:W3CDTF">2026-04-24T09:34:51Z</dcterms:created>
  <dcterms:modified xsi:type="dcterms:W3CDTF">2026-04-24T09:37:51Z</dcterms:modified>
</cp:coreProperties>
</file>